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autofit"/>
        <w:tblCellMar>
          <w:top w:w="0" w:type="dxa"/>
          <w:left w:w="0" w:type="dxa"/>
          <w:bottom w:w="0" w:type="dxa"/>
          <w:right w:w="0" w:type="dxa"/>
        </w:tblCellMar>
      </w:tblPr>
      <w:tblGrid>
        <w:gridCol w:w="578"/>
        <w:gridCol w:w="634"/>
        <w:gridCol w:w="668"/>
        <w:gridCol w:w="1407"/>
        <w:gridCol w:w="1110"/>
        <w:gridCol w:w="6099"/>
      </w:tblGrid>
      <w:tr>
        <w:tblPrEx>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6"/>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2021  年度）</w:t>
            </w:r>
          </w:p>
        </w:tc>
      </w:tr>
      <w:tr>
        <w:tblPrEx>
          <w:tblCellMar>
            <w:top w:w="0" w:type="dxa"/>
            <w:left w:w="0" w:type="dxa"/>
            <w:bottom w:w="0" w:type="dxa"/>
            <w:right w:w="0" w:type="dxa"/>
          </w:tblCellMar>
        </w:tblPrEx>
        <w:trPr>
          <w:trHeight w:val="450" w:hRule="atLeast"/>
        </w:trPr>
        <w:tc>
          <w:tcPr>
            <w:tcW w:w="57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422"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bCs/>
                <w:color w:val="000000"/>
                <w:sz w:val="22"/>
                <w:szCs w:val="22"/>
              </w:rPr>
              <w:t>中共新乡县委巡察工作领导小组办公室</w:t>
            </w:r>
          </w:p>
        </w:tc>
      </w:tr>
      <w:tr>
        <w:tblPrEx>
          <w:tblCellMar>
            <w:top w:w="0" w:type="dxa"/>
            <w:left w:w="0" w:type="dxa"/>
            <w:bottom w:w="0" w:type="dxa"/>
            <w:right w:w="0" w:type="dxa"/>
          </w:tblCellMar>
        </w:tblPrEx>
        <w:trPr>
          <w:trHeight w:val="450" w:hRule="atLeast"/>
        </w:trPr>
        <w:tc>
          <w:tcPr>
            <w:tcW w:w="2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724" w:type="pct"/>
            <w:gridSpan w:val="5"/>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目标1：“两个维护”落到实处</w:t>
            </w:r>
          </w:p>
          <w:p>
            <w:pPr>
              <w:widowControl/>
              <w:jc w:val="left"/>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目标2：政治巡察持续深化</w:t>
            </w:r>
          </w:p>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目标3：监督质量逐步提升</w:t>
            </w:r>
          </w:p>
        </w:tc>
      </w:tr>
      <w:tr>
        <w:tblPrEx>
          <w:tblCellMar>
            <w:top w:w="0" w:type="dxa"/>
            <w:left w:w="0" w:type="dxa"/>
            <w:bottom w:w="0" w:type="dxa"/>
            <w:right w:w="0" w:type="dxa"/>
          </w:tblCellMar>
        </w:tblPrEx>
        <w:trPr>
          <w:trHeight w:val="45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24" w:type="pct"/>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24" w:type="pct"/>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24" w:type="pct"/>
            <w:gridSpan w:val="5"/>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275"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422"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422"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sz w:val="22"/>
                <w:szCs w:val="22"/>
              </w:rPr>
              <w:t>坚持有腐必反、有贪必肃，保持高压态势。扎实做好巡察整改“后半篇文章”，加强对被巡察单位的整改督查督办。</w:t>
            </w:r>
          </w:p>
        </w:tc>
      </w:tr>
      <w:tr>
        <w:tblPrEx>
          <w:tblCellMar>
            <w:top w:w="0" w:type="dxa"/>
            <w:left w:w="0" w:type="dxa"/>
            <w:bottom w:w="0" w:type="dxa"/>
            <w:right w:w="0" w:type="dxa"/>
          </w:tblCellMar>
        </w:tblPrEx>
        <w:trPr>
          <w:trHeight w:val="34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422"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sz w:val="22"/>
                <w:szCs w:val="22"/>
              </w:rPr>
              <w:t>做实做细监督职责，强化日常监督、深化巡察监督、凝聚监督合力，全面提升监督质量。</w:t>
            </w:r>
          </w:p>
        </w:tc>
      </w:tr>
      <w:tr>
        <w:tblPrEx>
          <w:tblCellMar>
            <w:top w:w="0" w:type="dxa"/>
            <w:left w:w="0" w:type="dxa"/>
            <w:bottom w:w="0" w:type="dxa"/>
            <w:right w:w="0" w:type="dxa"/>
          </w:tblCellMar>
        </w:tblPrEx>
        <w:trPr>
          <w:trHeight w:val="42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422"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sz w:val="22"/>
                <w:szCs w:val="22"/>
              </w:rPr>
              <w:t>严格队伍管理，严明工作纪律，严防“灯下黑”。坚持抓早抓小，抓在平常、严在经常，在巡察机构营造风清气正、干事创业的良好政治生态。</w:t>
            </w:r>
          </w:p>
        </w:tc>
      </w:tr>
      <w:tr>
        <w:tblPrEx>
          <w:tblCellMar>
            <w:top w:w="0" w:type="dxa"/>
            <w:left w:w="0" w:type="dxa"/>
            <w:bottom w:w="0" w:type="dxa"/>
            <w:right w:w="0" w:type="dxa"/>
          </w:tblCellMar>
        </w:tblPrEx>
        <w:trPr>
          <w:trHeight w:val="440" w:hRule="atLeast"/>
        </w:trPr>
        <w:tc>
          <w:tcPr>
            <w:tcW w:w="2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28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43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188.57</w:t>
            </w:r>
          </w:p>
        </w:tc>
      </w:tr>
      <w:tr>
        <w:tblPrEx>
          <w:tblCellMar>
            <w:top w:w="0" w:type="dxa"/>
            <w:left w:w="0" w:type="dxa"/>
            <w:bottom w:w="0" w:type="dxa"/>
            <w:right w:w="0" w:type="dxa"/>
          </w:tblCellMar>
        </w:tblPrEx>
        <w:trPr>
          <w:trHeight w:val="46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8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1、资金来源：（1）财政性资金</w:t>
            </w:r>
          </w:p>
        </w:tc>
        <w:tc>
          <w:tcPr>
            <w:tcW w:w="343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188.57</w:t>
            </w:r>
          </w:p>
        </w:tc>
      </w:tr>
      <w:tr>
        <w:tblPrEx>
          <w:tblCellMar>
            <w:top w:w="0" w:type="dxa"/>
            <w:left w:w="0" w:type="dxa"/>
            <w:bottom w:w="0" w:type="dxa"/>
            <w:right w:w="0" w:type="dxa"/>
          </w:tblCellMar>
        </w:tblPrEx>
        <w:trPr>
          <w:trHeight w:val="36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8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（2）其他资金</w:t>
            </w:r>
          </w:p>
        </w:tc>
        <w:tc>
          <w:tcPr>
            <w:tcW w:w="343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0</w:t>
            </w:r>
          </w:p>
        </w:tc>
      </w:tr>
      <w:tr>
        <w:tblPrEx>
          <w:tblCellMar>
            <w:top w:w="0" w:type="dxa"/>
            <w:left w:w="0" w:type="dxa"/>
            <w:bottom w:w="0" w:type="dxa"/>
            <w:right w:w="0" w:type="dxa"/>
          </w:tblCellMar>
        </w:tblPrEx>
        <w:trPr>
          <w:trHeight w:val="40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8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2、资金结构：（1）基本支出</w:t>
            </w:r>
          </w:p>
        </w:tc>
        <w:tc>
          <w:tcPr>
            <w:tcW w:w="343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178.57</w:t>
            </w:r>
          </w:p>
        </w:tc>
      </w:tr>
      <w:tr>
        <w:tblPrEx>
          <w:tblCellMar>
            <w:top w:w="0" w:type="dxa"/>
            <w:left w:w="0" w:type="dxa"/>
            <w:bottom w:w="0" w:type="dxa"/>
            <w:right w:w="0" w:type="dxa"/>
          </w:tblCellMar>
        </w:tblPrEx>
        <w:trPr>
          <w:trHeight w:val="44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8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hint="default" w:ascii="仿宋" w:hAnsi="仿宋" w:eastAsia="仿宋" w:cs="仿宋"/>
              </w:rPr>
              <w:t>（2）项目支出</w:t>
            </w:r>
          </w:p>
        </w:tc>
        <w:tc>
          <w:tcPr>
            <w:tcW w:w="3437"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2"/>
                <w:szCs w:val="22"/>
              </w:rPr>
            </w:pPr>
            <w:r>
              <w:rPr>
                <w:rFonts w:hint="eastAsia" w:ascii="仿宋" w:hAnsi="仿宋" w:eastAsia="仿宋" w:cs="仿宋"/>
                <w:color w:val="000000"/>
                <w:sz w:val="22"/>
                <w:szCs w:val="22"/>
              </w:rPr>
              <w:t>10</w:t>
            </w:r>
          </w:p>
        </w:tc>
      </w:tr>
      <w:tr>
        <w:tblPrEx>
          <w:tblCellMar>
            <w:top w:w="0" w:type="dxa"/>
            <w:left w:w="0" w:type="dxa"/>
            <w:bottom w:w="0" w:type="dxa"/>
            <w:right w:w="0" w:type="dxa"/>
          </w:tblCellMar>
        </w:tblPrEx>
        <w:trPr>
          <w:trHeight w:val="540" w:hRule="atLeast"/>
        </w:trPr>
        <w:tc>
          <w:tcPr>
            <w:tcW w:w="2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3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kern w:val="0"/>
                <w:sz w:val="20"/>
                <w:szCs w:val="20"/>
              </w:rPr>
            </w:pPr>
            <w:r>
              <w:rPr>
                <w:rFonts w:hint="eastAsia" w:ascii="仿宋" w:hAnsi="仿宋" w:eastAsia="仿宋" w:cs="仿宋"/>
                <w:b/>
                <w:color w:val="000000"/>
                <w:kern w:val="0"/>
                <w:sz w:val="20"/>
                <w:szCs w:val="20"/>
              </w:rPr>
              <w:t>二级</w:t>
            </w:r>
          </w:p>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w:t>
            </w: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2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相关</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科学</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合理</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完整</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100%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大于等于90%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小于等于30%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小于等于10%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大于等于80%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大于等于90%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真实</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275"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301"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85" w:type="pct"/>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52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合规</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黑体" w:hAnsi="宋体" w:eastAsia="黑体" w:cs="黑体"/>
                <w:color w:val="000000"/>
                <w:sz w:val="20"/>
                <w:szCs w:val="20"/>
              </w:rPr>
            </w:pPr>
            <w:r>
              <w:rPr>
                <w:rFonts w:hint="eastAsia" w:ascii="仿宋" w:hAnsi="仿宋" w:eastAsia="仿宋" w:cs="宋体"/>
                <w:color w:val="000000"/>
                <w:kern w:val="0"/>
                <w:sz w:val="18"/>
                <w:szCs w:val="18"/>
              </w:rPr>
              <w:t>健全</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及时公开</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规范</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100%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100%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100%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275"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100%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2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宋体"/>
                <w:color w:val="000000"/>
                <w:kern w:val="0"/>
                <w:sz w:val="18"/>
                <w:szCs w:val="18"/>
              </w:rPr>
              <w:t>100%</w:t>
            </w:r>
          </w:p>
        </w:tc>
        <w:tc>
          <w:tcPr>
            <w:tcW w:w="291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宋体"/>
                <w:color w:val="000000"/>
                <w:kern w:val="0"/>
                <w:sz w:val="18"/>
                <w:szCs w:val="18"/>
              </w:rPr>
              <w:t>100%</w:t>
            </w:r>
          </w:p>
        </w:tc>
        <w:tc>
          <w:tcPr>
            <w:tcW w:w="29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重点工作3计划完成率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宋体"/>
                <w:color w:val="000000"/>
                <w:kern w:val="0"/>
                <w:sz w:val="18"/>
                <w:szCs w:val="18"/>
              </w:rPr>
              <w:t>100%</w:t>
            </w:r>
          </w:p>
        </w:tc>
        <w:tc>
          <w:tcPr>
            <w:tcW w:w="29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宋体"/>
                <w:color w:val="000000"/>
                <w:kern w:val="0"/>
                <w:sz w:val="18"/>
                <w:szCs w:val="18"/>
              </w:rPr>
              <w:t>100%</w:t>
            </w:r>
          </w:p>
        </w:tc>
        <w:tc>
          <w:tcPr>
            <w:tcW w:w="291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宋体"/>
                <w:color w:val="000000"/>
                <w:kern w:val="0"/>
                <w:sz w:val="18"/>
                <w:szCs w:val="18"/>
              </w:rPr>
              <w:t>100%</w:t>
            </w:r>
          </w:p>
        </w:tc>
        <w:tc>
          <w:tcPr>
            <w:tcW w:w="29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年度工作目标3实现率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pPr>
            <w:r>
              <w:rPr>
                <w:rFonts w:hint="eastAsia" w:ascii="仿宋" w:hAnsi="仿宋" w:eastAsia="仿宋" w:cs="宋体"/>
                <w:color w:val="000000"/>
                <w:kern w:val="0"/>
                <w:sz w:val="18"/>
                <w:szCs w:val="18"/>
              </w:rPr>
              <w:t>100%</w:t>
            </w:r>
          </w:p>
        </w:tc>
        <w:tc>
          <w:tcPr>
            <w:tcW w:w="29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27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3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 w:hAnsi="仿宋" w:eastAsia="仿宋" w:cs="仿宋"/>
                <w:color w:val="000000"/>
                <w:sz w:val="20"/>
                <w:szCs w:val="20"/>
              </w:rPr>
            </w:pPr>
            <w:r>
              <w:rPr>
                <w:rFonts w:hint="eastAsia" w:ascii="仿宋" w:hAnsi="仿宋" w:eastAsia="仿宋" w:cs="宋体"/>
                <w:color w:val="000000"/>
                <w:sz w:val="18"/>
                <w:szCs w:val="18"/>
              </w:rPr>
              <w:t>严明党的政治纪律、政治规矩，显著净化政治生态。</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净化</w:t>
            </w:r>
          </w:p>
        </w:tc>
        <w:tc>
          <w:tcPr>
            <w:tcW w:w="291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46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宋体"/>
                <w:color w:val="000000"/>
                <w:sz w:val="18"/>
                <w:szCs w:val="18"/>
              </w:rPr>
            </w:pPr>
            <w:r>
              <w:rPr>
                <w:rFonts w:hint="eastAsia" w:ascii="仿宋" w:hAnsi="仿宋" w:eastAsia="仿宋" w:cs="宋体"/>
                <w:color w:val="000000"/>
                <w:kern w:val="0"/>
                <w:sz w:val="18"/>
                <w:szCs w:val="18"/>
              </w:rPr>
              <w:t>可持续影响</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宋体"/>
                <w:color w:val="000000"/>
                <w:sz w:val="18"/>
                <w:szCs w:val="18"/>
              </w:rPr>
            </w:pPr>
            <w:r>
              <w:rPr>
                <w:rFonts w:hint="eastAsia" w:ascii="仿宋" w:hAnsi="仿宋" w:eastAsia="仿宋" w:cs="宋体"/>
                <w:color w:val="000000"/>
                <w:sz w:val="18"/>
                <w:szCs w:val="18"/>
              </w:rPr>
              <w:t>持续健全和谐社会体系，推进完善政策制度保障，有效形成职责明确、运转有序、统一高效的监管机制。</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宋体"/>
                <w:color w:val="000000"/>
                <w:sz w:val="18"/>
                <w:szCs w:val="18"/>
              </w:rPr>
            </w:pPr>
            <w:r>
              <w:rPr>
                <w:rFonts w:hint="eastAsia" w:ascii="仿宋" w:hAnsi="仿宋" w:eastAsia="仿宋" w:cs="宋体"/>
                <w:color w:val="000000"/>
                <w:sz w:val="18"/>
                <w:szCs w:val="18"/>
              </w:rPr>
              <w:t>持续</w:t>
            </w:r>
          </w:p>
        </w:tc>
        <w:tc>
          <w:tcPr>
            <w:tcW w:w="29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27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公众满意度</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sz w:val="20"/>
                <w:szCs w:val="20"/>
              </w:rPr>
              <w:t>≥90%</w:t>
            </w:r>
          </w:p>
        </w:tc>
        <w:tc>
          <w:tcPr>
            <w:tcW w:w="2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bl>
    <w:p>
      <w:pPr>
        <w:widowControl/>
        <w:spacing w:line="320" w:lineRule="exact"/>
        <w:jc w:val="both"/>
        <w:rPr>
          <w:b/>
          <w:bCs/>
          <w:kern w:val="0"/>
          <w:sz w:val="28"/>
          <w:szCs w:val="28"/>
        </w:rPr>
        <w:sectPr>
          <w:footerReference r:id="rId3" w:type="default"/>
          <w:pgSz w:w="11906" w:h="16838"/>
          <w:pgMar w:top="720" w:right="720" w:bottom="720" w:left="720" w:header="851" w:footer="227" w:gutter="0"/>
          <w:cols w:space="0" w:num="1"/>
          <w:docGrid w:type="lines" w:linePitch="319" w:charSpace="0"/>
        </w:sectPr>
      </w:pPr>
      <w:bookmarkStart w:id="0" w:name="_GoBack"/>
      <w:bookmarkEnd w:id="0"/>
    </w:p>
    <w:p>
      <w:pPr>
        <w:pStyle w:val="2"/>
        <w:ind w:firstLine="0" w:firstLineChars="0"/>
        <w:sectPr>
          <w:pgSz w:w="11906" w:h="16838"/>
          <w:pgMar w:top="720" w:right="720" w:bottom="720" w:left="720" w:header="851" w:footer="227" w:gutter="0"/>
          <w:cols w:space="0" w:num="1"/>
          <w:docGrid w:type="lines" w:linePitch="319" w:charSpace="0"/>
        </w:sectPr>
      </w:pPr>
    </w:p>
    <w:p>
      <w:pPr>
        <w:adjustRightInd w:val="0"/>
        <w:snapToGrid w:val="0"/>
      </w:pPr>
    </w:p>
    <w:sectPr>
      <w:pgSz w:w="16838" w:h="11906" w:orient="landscape"/>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72899"/>
    <w:rsid w:val="0003105C"/>
    <w:rsid w:val="00040706"/>
    <w:rsid w:val="00062D3E"/>
    <w:rsid w:val="000771C9"/>
    <w:rsid w:val="000D1824"/>
    <w:rsid w:val="000D301E"/>
    <w:rsid w:val="000D635C"/>
    <w:rsid w:val="000E745A"/>
    <w:rsid w:val="000F052A"/>
    <w:rsid w:val="0012391E"/>
    <w:rsid w:val="00126A81"/>
    <w:rsid w:val="0013736A"/>
    <w:rsid w:val="001535A5"/>
    <w:rsid w:val="00155B14"/>
    <w:rsid w:val="001664AD"/>
    <w:rsid w:val="00167F90"/>
    <w:rsid w:val="00181940"/>
    <w:rsid w:val="001B5624"/>
    <w:rsid w:val="001B6A9D"/>
    <w:rsid w:val="001E647F"/>
    <w:rsid w:val="001F0759"/>
    <w:rsid w:val="002272B1"/>
    <w:rsid w:val="00232CC5"/>
    <w:rsid w:val="002404B1"/>
    <w:rsid w:val="002647A7"/>
    <w:rsid w:val="002674A5"/>
    <w:rsid w:val="002675B8"/>
    <w:rsid w:val="00272899"/>
    <w:rsid w:val="002839F5"/>
    <w:rsid w:val="00285CD5"/>
    <w:rsid w:val="002906D1"/>
    <w:rsid w:val="002B3707"/>
    <w:rsid w:val="002B6595"/>
    <w:rsid w:val="002C2084"/>
    <w:rsid w:val="002C5CBD"/>
    <w:rsid w:val="002C68EC"/>
    <w:rsid w:val="002D57DD"/>
    <w:rsid w:val="002E4B91"/>
    <w:rsid w:val="002F037D"/>
    <w:rsid w:val="002F2E67"/>
    <w:rsid w:val="0030602A"/>
    <w:rsid w:val="00322681"/>
    <w:rsid w:val="00327EC7"/>
    <w:rsid w:val="003562FA"/>
    <w:rsid w:val="00360A00"/>
    <w:rsid w:val="0038437C"/>
    <w:rsid w:val="003A0FD7"/>
    <w:rsid w:val="003A525E"/>
    <w:rsid w:val="003D30A5"/>
    <w:rsid w:val="00405268"/>
    <w:rsid w:val="00416F11"/>
    <w:rsid w:val="0042324C"/>
    <w:rsid w:val="00425D01"/>
    <w:rsid w:val="00437ACC"/>
    <w:rsid w:val="00466324"/>
    <w:rsid w:val="004A27A5"/>
    <w:rsid w:val="004B0DE0"/>
    <w:rsid w:val="004B65A9"/>
    <w:rsid w:val="004D3271"/>
    <w:rsid w:val="004D6C79"/>
    <w:rsid w:val="005144E9"/>
    <w:rsid w:val="005413B5"/>
    <w:rsid w:val="00557E47"/>
    <w:rsid w:val="00563D32"/>
    <w:rsid w:val="00590CA1"/>
    <w:rsid w:val="0059427F"/>
    <w:rsid w:val="005B1371"/>
    <w:rsid w:val="005C06EF"/>
    <w:rsid w:val="005D5047"/>
    <w:rsid w:val="005F27F7"/>
    <w:rsid w:val="00604D75"/>
    <w:rsid w:val="006105CB"/>
    <w:rsid w:val="00620214"/>
    <w:rsid w:val="00622FE9"/>
    <w:rsid w:val="00633237"/>
    <w:rsid w:val="00656587"/>
    <w:rsid w:val="00656755"/>
    <w:rsid w:val="00690F08"/>
    <w:rsid w:val="0069195E"/>
    <w:rsid w:val="006A0013"/>
    <w:rsid w:val="006B7276"/>
    <w:rsid w:val="006D4553"/>
    <w:rsid w:val="006D5092"/>
    <w:rsid w:val="00705386"/>
    <w:rsid w:val="00706056"/>
    <w:rsid w:val="00731CED"/>
    <w:rsid w:val="00756439"/>
    <w:rsid w:val="007600BD"/>
    <w:rsid w:val="00784BB3"/>
    <w:rsid w:val="00791872"/>
    <w:rsid w:val="00792EE3"/>
    <w:rsid w:val="007B6F66"/>
    <w:rsid w:val="007C45CA"/>
    <w:rsid w:val="008074F6"/>
    <w:rsid w:val="00812354"/>
    <w:rsid w:val="00820BDB"/>
    <w:rsid w:val="00821C50"/>
    <w:rsid w:val="0084086D"/>
    <w:rsid w:val="00841C11"/>
    <w:rsid w:val="00843528"/>
    <w:rsid w:val="00845274"/>
    <w:rsid w:val="0085478D"/>
    <w:rsid w:val="008552DB"/>
    <w:rsid w:val="008766EA"/>
    <w:rsid w:val="00881CC5"/>
    <w:rsid w:val="0088233D"/>
    <w:rsid w:val="0088541C"/>
    <w:rsid w:val="008A1F0B"/>
    <w:rsid w:val="008B259E"/>
    <w:rsid w:val="00907EA8"/>
    <w:rsid w:val="0093770E"/>
    <w:rsid w:val="009618B6"/>
    <w:rsid w:val="009E1249"/>
    <w:rsid w:val="00A05229"/>
    <w:rsid w:val="00A1384E"/>
    <w:rsid w:val="00A2614C"/>
    <w:rsid w:val="00A3007E"/>
    <w:rsid w:val="00A64077"/>
    <w:rsid w:val="00AB6500"/>
    <w:rsid w:val="00AC0347"/>
    <w:rsid w:val="00AC55E8"/>
    <w:rsid w:val="00AD1F4F"/>
    <w:rsid w:val="00AE060E"/>
    <w:rsid w:val="00AE6545"/>
    <w:rsid w:val="00AF1E0E"/>
    <w:rsid w:val="00B66223"/>
    <w:rsid w:val="00B8480C"/>
    <w:rsid w:val="00B852B8"/>
    <w:rsid w:val="00BA7B5E"/>
    <w:rsid w:val="00BC066D"/>
    <w:rsid w:val="00BC26E3"/>
    <w:rsid w:val="00BC6F0C"/>
    <w:rsid w:val="00BE6179"/>
    <w:rsid w:val="00BF4AA2"/>
    <w:rsid w:val="00C01B8E"/>
    <w:rsid w:val="00C40E5B"/>
    <w:rsid w:val="00C44455"/>
    <w:rsid w:val="00C44DD6"/>
    <w:rsid w:val="00C45014"/>
    <w:rsid w:val="00C87557"/>
    <w:rsid w:val="00C9049F"/>
    <w:rsid w:val="00C945F1"/>
    <w:rsid w:val="00CB3AD5"/>
    <w:rsid w:val="00CB4F2D"/>
    <w:rsid w:val="00CC0C5D"/>
    <w:rsid w:val="00CC6BAD"/>
    <w:rsid w:val="00CD536C"/>
    <w:rsid w:val="00D000FD"/>
    <w:rsid w:val="00D24482"/>
    <w:rsid w:val="00D26317"/>
    <w:rsid w:val="00D33A54"/>
    <w:rsid w:val="00D47433"/>
    <w:rsid w:val="00D505DA"/>
    <w:rsid w:val="00D86CE0"/>
    <w:rsid w:val="00D93EF0"/>
    <w:rsid w:val="00DB255F"/>
    <w:rsid w:val="00DB5594"/>
    <w:rsid w:val="00E0228C"/>
    <w:rsid w:val="00E06F74"/>
    <w:rsid w:val="00E25896"/>
    <w:rsid w:val="00E463D6"/>
    <w:rsid w:val="00E46DCC"/>
    <w:rsid w:val="00E7058F"/>
    <w:rsid w:val="00E90349"/>
    <w:rsid w:val="00E94B47"/>
    <w:rsid w:val="00E95627"/>
    <w:rsid w:val="00E970D2"/>
    <w:rsid w:val="00EA2014"/>
    <w:rsid w:val="00EA703F"/>
    <w:rsid w:val="00ED4EFA"/>
    <w:rsid w:val="00EF6196"/>
    <w:rsid w:val="00F0615D"/>
    <w:rsid w:val="00F36273"/>
    <w:rsid w:val="00F40996"/>
    <w:rsid w:val="00F646EC"/>
    <w:rsid w:val="00F675E5"/>
    <w:rsid w:val="00F842C8"/>
    <w:rsid w:val="00F866FD"/>
    <w:rsid w:val="00F93313"/>
    <w:rsid w:val="00F97459"/>
    <w:rsid w:val="00FA0ADD"/>
    <w:rsid w:val="00FA58D5"/>
    <w:rsid w:val="00FB4D6D"/>
    <w:rsid w:val="00FD6791"/>
    <w:rsid w:val="00FD7A1A"/>
    <w:rsid w:val="00FE5AA7"/>
    <w:rsid w:val="00FF19B8"/>
    <w:rsid w:val="00FF3E1C"/>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7EF404A"/>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microsoft.com/office/2006/relationships/keyMapCustomizations" Target="customizations.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471</Words>
  <Characters>2690</Characters>
  <Lines>22</Lines>
  <Paragraphs>6</Paragraphs>
  <TotalTime>0</TotalTime>
  <ScaleCrop>false</ScaleCrop>
  <LinksUpToDate>false</LinksUpToDate>
  <CharactersWithSpaces>3155</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xzf</cp:lastModifiedBy>
  <dcterms:modified xsi:type="dcterms:W3CDTF">2022-03-14T01:44:10Z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y fmtid="{D5CDD505-2E9C-101B-9397-08002B2CF9AE}" pid="3" name="ICV">
    <vt:lpwstr>2BB3D6730ED14DADAED5BF6B7F50A499</vt:lpwstr>
  </property>
</Properties>
</file>